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39"/>
        <w:gridCol w:w="1034"/>
        <w:gridCol w:w="5168"/>
        <w:gridCol w:w="813"/>
        <w:gridCol w:w="7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0" w:hRule="atLeast"/>
        </w:trPr>
        <w:tc>
          <w:tcPr>
            <w:tcW w:w="5000" w:type="pct"/>
            <w:gridSpan w:val="5"/>
            <w:tcBorders>
              <w:tl2br w:val="nil"/>
              <w:tr2bl w:val="nil"/>
            </w:tcBorders>
            <w:shd w:val="clear" w:color="auto" w:fill="auto"/>
            <w:vAlign w:val="center"/>
          </w:tcPr>
          <w:p>
            <w:pPr>
              <w:keepNext w:val="0"/>
              <w:keepLines w:val="0"/>
              <w:widowControl/>
              <w:suppressLineNumbers w:val="0"/>
              <w:jc w:val="left"/>
              <w:textAlignment w:val="center"/>
              <w:rPr>
                <w:rFonts w:hint="default" w:asciiTheme="majorEastAsia" w:hAnsiTheme="majorEastAsia" w:eastAsiaTheme="majorEastAsia" w:cstheme="majorEastAsia"/>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一、货物需求表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序号</w:t>
            </w:r>
          </w:p>
        </w:tc>
        <w:tc>
          <w:tcPr>
            <w:tcW w:w="60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货物名称</w:t>
            </w:r>
          </w:p>
        </w:tc>
        <w:tc>
          <w:tcPr>
            <w:tcW w:w="3033"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技术参数及要求（参考）</w:t>
            </w:r>
          </w:p>
        </w:tc>
        <w:tc>
          <w:tcPr>
            <w:tcW w:w="47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数量</w:t>
            </w:r>
          </w:p>
        </w:tc>
        <w:tc>
          <w:tcPr>
            <w:tcW w:w="447"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7"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4K超清录播主机</w:t>
            </w:r>
          </w:p>
        </w:tc>
        <w:tc>
          <w:tcPr>
            <w:tcW w:w="3033" w:type="pct"/>
            <w:tcBorders>
              <w:tl2br w:val="nil"/>
              <w:tr2bl w:val="nil"/>
            </w:tcBorders>
            <w:shd w:val="clear" w:color="auto" w:fill="auto"/>
            <w:vAlign w:val="center"/>
          </w:tcPr>
          <w:p>
            <w:pPr>
              <w:keepNext w:val="0"/>
              <w:keepLines w:val="0"/>
              <w:widowControl/>
              <w:numPr>
                <w:ilvl w:val="0"/>
                <w:numId w:val="0"/>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1、设备结构：嵌入式架构，1U机架式设计；整机功耗不超过50W；集成视频录制、自动跟踪导播、视音频互动、实时直播、音频处理功能。</w:t>
            </w:r>
            <w:r>
              <w:rPr>
                <w:rStyle w:val="9"/>
                <w:rFonts w:hint="eastAsia" w:asciiTheme="majorEastAsia" w:hAnsiTheme="majorEastAsia" w:eastAsiaTheme="majorEastAsia" w:cstheme="majorEastAsia"/>
                <w:sz w:val="21"/>
                <w:szCs w:val="21"/>
                <w:lang w:val="en-US" w:eastAsia="zh-CN" w:bidi="ar"/>
              </w:rPr>
              <w:br w:type="textWrapping"/>
            </w:r>
            <w:bookmarkStart w:id="0" w:name="OLE_LINK1"/>
            <w:r>
              <w:rPr>
                <w:rStyle w:val="9"/>
                <w:rFonts w:hint="eastAsia" w:asciiTheme="majorEastAsia" w:hAnsiTheme="majorEastAsia" w:eastAsiaTheme="majorEastAsia" w:cstheme="majorEastAsia"/>
                <w:sz w:val="21"/>
                <w:szCs w:val="21"/>
                <w:lang w:val="en-US" w:eastAsia="zh-CN" w:bidi="ar"/>
              </w:rPr>
              <w:t>★</w:t>
            </w:r>
            <w:bookmarkEnd w:id="0"/>
            <w:r>
              <w:rPr>
                <w:rStyle w:val="9"/>
                <w:rFonts w:hint="eastAsia" w:asciiTheme="majorEastAsia" w:hAnsiTheme="majorEastAsia" w:eastAsiaTheme="majorEastAsia" w:cstheme="majorEastAsia"/>
                <w:sz w:val="21"/>
                <w:szCs w:val="21"/>
                <w:lang w:val="en-US" w:eastAsia="zh-CN" w:bidi="ar"/>
              </w:rPr>
              <w:t>2、主机支持≥4路SDI模拟视频信号或数字视频信号输入，≥2路HDMI 输入；≥2路HDMI 输出，支持≥2路3.5mm线性音频模拟信号输入接口；≥2路3.5mm线性音频输出接口；≥6路数字音频Digital Mic输入接口；（响应文件中提供所投产品的接口实物照片证明符合以上参数）</w:t>
            </w:r>
          </w:p>
          <w:p>
            <w:pPr>
              <w:keepNext w:val="0"/>
              <w:keepLines w:val="0"/>
              <w:widowControl/>
              <w:numPr>
                <w:ilvl w:val="0"/>
                <w:numId w:val="1"/>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主机兼容标准H.264视频编解码能力，支持720P、1080P、4K；</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4、存储容量：1TB；</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5、音频处理模块：内置音频处理功能，支持EQ均衡、AEC回声抑制、AGC自动增益、ANS噪声抑制等音频处理功能；</w:t>
            </w:r>
          </w:p>
          <w:p>
            <w:pPr>
              <w:keepNext w:val="0"/>
              <w:keepLines w:val="0"/>
              <w:widowControl/>
              <w:numPr>
                <w:ilvl w:val="0"/>
                <w:numId w:val="0"/>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6、AI跟踪功能模块：自动跟踪拍摄无需额外配置跟踪辅助拍摄装置，实现不同场景画面自动跟踪切换；</w:t>
            </w:r>
          </w:p>
          <w:p>
            <w:pPr>
              <w:keepNext w:val="0"/>
              <w:keepLines w:val="0"/>
              <w:widowControl/>
              <w:numPr>
                <w:ilvl w:val="0"/>
                <w:numId w:val="0"/>
              </w:numPr>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7、互动功能模块：支持H.323、SIP、WebRTC、BFCP、H.239视音频互动协议；支持双流互动功能,教学场景信号与电脑课件信号以互相独立的信号进行传输，画面同时分别环出到两个显示设备上。</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白板交互功能：支持将互动端的白板书写数据及指令进行交互传输和显示，实现白板异屏书写同屏展示的交互功能；支持板书增强功能对教师在黑板上的板书内容实时识别进行电子化处理。（响应文件中提供满足此功能的权威机构出具的检测报告）</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9、兼容拍摄：录播主机支持电子云镜和机械云台两种智能控制技术；</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2</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录播流媒体处理软件</w:t>
            </w:r>
          </w:p>
        </w:tc>
        <w:tc>
          <w:tcPr>
            <w:tcW w:w="3033" w:type="pct"/>
            <w:tcBorders>
              <w:tl2br w:val="nil"/>
              <w:tr2bl w:val="nil"/>
            </w:tcBorders>
            <w:shd w:val="clear" w:color="auto" w:fill="auto"/>
            <w:vAlign w:val="center"/>
          </w:tcPr>
          <w:p>
            <w:pPr>
              <w:keepNext w:val="0"/>
              <w:keepLines w:val="0"/>
              <w:widowControl/>
              <w:numPr>
                <w:ilvl w:val="0"/>
                <w:numId w:val="2"/>
              </w:numPr>
              <w:suppressLineNumbers w:val="0"/>
              <w:jc w:val="left"/>
              <w:textAlignment w:val="center"/>
              <w:rPr>
                <w:rStyle w:val="9"/>
                <w:rFonts w:hint="eastAsia" w:asciiTheme="majorEastAsia" w:hAnsiTheme="majorEastAsia" w:eastAsiaTheme="majorEastAsia" w:cstheme="majorEastAsia"/>
                <w:sz w:val="21"/>
                <w:szCs w:val="21"/>
                <w:lang w:val="en-US" w:eastAsia="zh-CN" w:bidi="ar"/>
              </w:rPr>
            </w:pPr>
            <w:r>
              <w:rPr>
                <w:rStyle w:val="9"/>
                <w:rFonts w:hint="eastAsia" w:asciiTheme="majorEastAsia" w:hAnsiTheme="majorEastAsia" w:eastAsiaTheme="majorEastAsia" w:cstheme="majorEastAsia"/>
                <w:sz w:val="21"/>
                <w:szCs w:val="21"/>
                <w:lang w:val="en-US" w:eastAsia="zh-CN" w:bidi="ar"/>
              </w:rPr>
              <w:t>★分段录制：支持30分钟分段、60分钟分段两种分段录制方式，系统可在不结束录制的条件下根据分段时长自动将视频录制为多个分段文件；（投标文件中需提供平台界面功能截图）</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2、导播模式：支持全自动、半自动、手动三种导播模式，支持录制、直播和互动过程中任意切换导播模式；</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3、台标字幕：支持在导播预览界面添加Logo台标与字幕，可自主上传Logo图标、设置logo位置。</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4、支持片头片尾设置，可上传JPG格式图片作为录制默认的片头片尾画面，并可自定义片头片尾显示时长；</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5、支持≥4路RTMP同步推流直播；</w:t>
            </w:r>
          </w:p>
          <w:p>
            <w:pPr>
              <w:keepNext w:val="0"/>
              <w:keepLines w:val="0"/>
              <w:widowControl/>
              <w:numPr>
                <w:ilvl w:val="0"/>
                <w:numId w:val="0"/>
              </w:numPr>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6、支持RTMP直播、TS直播、集控推流直播等；</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3</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4K超清教师摄像机</w:t>
            </w:r>
          </w:p>
        </w:tc>
        <w:tc>
          <w:tcPr>
            <w:tcW w:w="3033" w:type="pct"/>
            <w:tcBorders>
              <w:tl2br w:val="nil"/>
              <w:tr2bl w:val="nil"/>
            </w:tcBorders>
            <w:shd w:val="clear" w:color="auto" w:fill="auto"/>
            <w:vAlign w:val="center"/>
          </w:tcPr>
          <w:p>
            <w:pPr>
              <w:keepNext w:val="0"/>
              <w:keepLines w:val="0"/>
              <w:widowControl/>
              <w:numPr>
                <w:ilvl w:val="0"/>
                <w:numId w:val="3"/>
              </w:numPr>
              <w:suppressLineNumbers w:val="0"/>
              <w:jc w:val="left"/>
              <w:textAlignment w:val="center"/>
            </w:pPr>
            <w:r>
              <w:rPr>
                <w:rStyle w:val="9"/>
                <w:rFonts w:hint="eastAsia" w:asciiTheme="majorEastAsia" w:hAnsiTheme="majorEastAsia" w:eastAsiaTheme="majorEastAsia" w:cstheme="majorEastAsia"/>
                <w:sz w:val="21"/>
                <w:szCs w:val="21"/>
                <w:lang w:val="en-US" w:eastAsia="zh-CN" w:bidi="ar"/>
              </w:rPr>
              <w:t>传感器：采用CMOS类型图像传感器，尺寸≥1/2.5英寸；有效像素≥800万。最大分辨率支持3840X2160。4K模式下支持≥10倍光学变焦</w:t>
            </w:r>
            <w:r>
              <w:rPr>
                <w:rFonts w:hint="eastAsia"/>
                <w:lang w:eastAsia="zh-CN"/>
              </w:rPr>
              <w:t>。</w:t>
            </w:r>
          </w:p>
          <w:p>
            <w:pPr>
              <w:keepNext w:val="0"/>
              <w:keepLines w:val="0"/>
              <w:widowControl/>
              <w:numPr>
                <w:ilvl w:val="0"/>
                <w:numId w:val="0"/>
              </w:numPr>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2、云台转动：要求具备机械云台可进行转动跟踪。水平转动速度最大不少于90°/s，垂直转动速度最大不少70°/s；</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3、视场角大小：支持水平视场角≥70°，垂直视场角≥43°；</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4、视频输出：要求具备数字视频输出口（RJ45）≥1，HDMI视频输出口≥1；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5、网络接入：RJ45网络接口≥1，并支持100M/1000M自适应以太网接入与RTSP协议网络视频输出；</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6、音频接口：Line in输入口≥1；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7、USB接口：要求具备USB Type-A≥1；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AI跟踪功能：基于AI人物识别的自动跟踪技术，仅摄像机自身可实现人物移动的自动画面跟踪拍摄，支持教师角色识别。支持学生智能跟踪。支持AI板书、AI考勤功能。（响应文件中提供满足此功能的权威机构出具的检测报告）</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9、电源支持：支持录播主机供电和DC12V电源适配器等供电方式；</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6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4</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4K超清学生摄像机</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1、传感器类型：CMOS、1/2.5英寸</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2、采用逐行扫描模式，有效像素≥800万。视频分辨率最高支持3840X2160。</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3、最大水平视场角不小于80°，最大垂直视场角不小于50°</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4、网络接口：RJ45接口≥1，10/100/1000M自适应</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5、视频接口：数字视频接口（RJ45）≥1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6、支持DC12V电源适配器供电与RJ45双绞线供电</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8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5</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AI智能跟踪拍摄软件</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1、摄像机传输处理软件需采用B/S架构，支持通用浏览器直接访问进行管理；</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2、需支持曝光模式设置功能，包括自动、手动；</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3、支持抗闪烁频率、动态范围、光圈、快门参数设置；</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4、支持图像水平、垂直翻转，适应摄像机不同的安装方式要求；</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5、支持配合录播主机设置五分像、七分像、全身像等多种教师图像跟踪画面模式，根据实际需要设置选用教师跟踪画面的大小；</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6、支持配合录播主机划分的自动跟踪区域，当锁定跟踪人物走出自动跟踪区域时即停止跟踪，直到重新回到区域出现在画面中为止；</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7、跟踪拍摄软件具有AI智能跟踪功能，AI智能跟踪功能须为自主研发产品取得自主知识产权证明。</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55"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6</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录制面板</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 安装方式：要求镶嵌式安装在讲台。</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 控制接口：要求支持RS232控制接口用以连接录播主机。</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 信号指示灯：要求具备信号指示灯。</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 支持一键式系统电源开关控制。</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 一键式录制、停止、锁定电脑信号。</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 支持本地录播全自动的开启、关闭控制。该功能同时支持录播模式和互动模式。</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 支持通过面板一键发起与远端设备互动连接。</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 支持通过交互控制面板切换互动画面的信号源，并传输到听课室，包括本地老师信号、学生信号、电脑信号、远端课室画面。</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9. 支持对各画面的自由布局控制，包括单画面全屏、双分屏、三分屏、四分屏、画中画，并传输到听课室。</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10.支持远程“一键静音”功能，主讲端可一键关闭远端互动教室发言，进入主讲授课模式。</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58"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7</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AI数字话筒</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1、指向性：超心型</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2、频率响应：40Hz—16kHz</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3、输出接口：RJ45，数字音频接口；</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4、支持全频带全双工自适应回声消除算法。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5、支持全频自适应AI 降噪技术。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6、支持智能混音，可智能选择最佳麦克风 采集音频。</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7、具备智能噪声抑制功能。实现智能识别和抑制背景常态噪音的应用，如空调等噪声实现自动检测和消除。</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3</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7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8</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无线麦克风</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sz w:val="21"/>
                <w:szCs w:val="21"/>
                <w:u w:val="none"/>
              </w:rPr>
            </w:pPr>
            <w:r>
              <w:rPr>
                <w:rStyle w:val="10"/>
                <w:rFonts w:hint="eastAsia" w:asciiTheme="majorEastAsia" w:hAnsiTheme="majorEastAsia" w:eastAsiaTheme="majorEastAsia" w:cstheme="majorEastAsia"/>
                <w:b w:val="0"/>
                <w:bCs w:val="0"/>
                <w:sz w:val="21"/>
                <w:szCs w:val="21"/>
                <w:lang w:val="en-US" w:eastAsia="zh-CN" w:bidi="ar"/>
              </w:rPr>
              <w:t>一、无线麦克风</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1.设备架构：一体化领夹设计，集成高效能电池模组，支持≥6小时正常运行时间，内置OLED显示界面；空旷无干扰环境的无线通信半径≥40米。</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2.传输方式：支持NFC近场通信配对和UHF传输。</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3.拾音性能：有效拾音孔径≥30厘米。</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4.佩戴方式：支持多种物理部署形态（衣物夹持、手持、外接头戴咪），支持磁吸式佩戴。</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5.充电方式：支持Type-C通用充电端口。</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二、接收器</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1.设备架构：内置OLED显示界面，可视化显示工作信道、配对状态、精确电量及实时连接质量的系统运行状态。</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2.设备接口：支持3.5mm音频输出端口，支持Type-C供电标准接口，支持USB接口。</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3.充电方式：支持Type-C供电标准接口，支持广泛的5V电源适配器，支持多次插拔充电。</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4.PPT控制：支持PPT接收模块，可无缝兼容市面主流翻页器，直接控制幻灯片播放等演示操作。</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三、无源感应节点</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1.设备架构：内置非易失性存储单元，支持数据快速交换，具备良好的物理防护性能，效能衰减≤15%，支持快速与无线麦克风配对。</w:t>
            </w:r>
            <w:r>
              <w:rPr>
                <w:rStyle w:val="10"/>
                <w:rFonts w:hint="eastAsia" w:asciiTheme="majorEastAsia" w:hAnsiTheme="majorEastAsia" w:eastAsiaTheme="majorEastAsia" w:cstheme="majorEastAsia"/>
                <w:b w:val="0"/>
                <w:bCs w:val="0"/>
                <w:sz w:val="21"/>
                <w:szCs w:val="21"/>
                <w:lang w:val="en-US" w:eastAsia="zh-CN" w:bidi="ar"/>
              </w:rPr>
              <w:br w:type="textWrapping"/>
            </w:r>
            <w:r>
              <w:rPr>
                <w:rStyle w:val="10"/>
                <w:rFonts w:hint="eastAsia" w:asciiTheme="majorEastAsia" w:hAnsiTheme="majorEastAsia" w:eastAsiaTheme="majorEastAsia" w:cstheme="majorEastAsia"/>
                <w:b w:val="0"/>
                <w:bCs w:val="0"/>
                <w:sz w:val="21"/>
                <w:szCs w:val="21"/>
                <w:lang w:val="en-US" w:eastAsia="zh-CN" w:bidi="ar"/>
              </w:rPr>
              <w:t>2.产品性能：可承受百万级反复交互。</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8"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9</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数字音频处理器</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硬件参数：</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1.48K采样率，高速DSP处理芯片；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2.至少支持4路模拟输入+1路立体声输入+2路无线输入；支持4路模拟输出+2路功放输出的音频信号处理；</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3.幻象供电：支持每路独立48V幻象供电；</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4.音频处理：支持DSP音频处理功能，包含反馈消除、回声消除、噪声消除等；</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5.支持全功能矩阵混音功能；</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6.支持场景预设功能，可通过场景预设切换相应配置；</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7.USB背景音乐播放与录制功能，支持通过USB接口自动读取并选择播放U盘中的MP3、WAV等格式的音频文件。</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软件参数：</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1.采用C/S或B/S软件架构设计，支持对音频处理矩阵进行管理。</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 xml:space="preserve">2.直观、图形化软件控制界面。 </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3.信道管理：提供输入输出信道的快捷控制方式，每个通道的处理器都可以快速直通和启用，选中不同的信道，会自动切换信道信息；</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4.扩展器管理：支持通过扩展器调整输入的动态范围；</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5.自动增益：支持通过改变输入输出压缩比例来自动控制增益的幅度，自动提升和压缩话筒音量，使之以恒定的电平输出；</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6.压缩器管理：支持通过压缩器减少信号高于用户确定的阈值的动态范围，信号电平低于阈值保持不变；</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7.均衡器管理：31段频点可单独调节增益，从而达到加强、削弱某些频点的目的，实现不同效果。</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8.★自主知识产权：要求音频处理与功放软件具备自主知识产权（响应文件中提供音频处理与功放软件著作权证书或检测/测试报告复印件）。</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63"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10</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音箱</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Style w:val="9"/>
                <w:rFonts w:hint="eastAsia" w:asciiTheme="majorEastAsia" w:hAnsiTheme="majorEastAsia" w:eastAsiaTheme="majorEastAsia" w:cstheme="majorEastAsia"/>
                <w:sz w:val="21"/>
                <w:szCs w:val="21"/>
                <w:lang w:val="en-US" w:eastAsia="zh-CN" w:bidi="ar"/>
              </w:rPr>
              <w:t>1.高音单元：1＂</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2.低音单元：6.5＂</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3.频率响应：60Hz-20KHz</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4.阻抗： 6</w:t>
            </w:r>
            <w:r>
              <w:rPr>
                <w:rStyle w:val="11"/>
                <w:rFonts w:hint="eastAsia" w:asciiTheme="majorEastAsia" w:hAnsiTheme="majorEastAsia" w:eastAsiaTheme="majorEastAsia" w:cstheme="majorEastAsia"/>
                <w:sz w:val="21"/>
                <w:szCs w:val="21"/>
                <w:lang w:val="en-US" w:eastAsia="zh-CN" w:bidi="ar"/>
              </w:rPr>
              <w:t>Ω</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5.功率：60W(RMS)    120W(PEAK)</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6.灵敏度：91dB</w:t>
            </w:r>
            <w:r>
              <w:rPr>
                <w:rStyle w:val="9"/>
                <w:rFonts w:hint="eastAsia" w:asciiTheme="majorEastAsia" w:hAnsiTheme="majorEastAsia" w:eastAsiaTheme="majorEastAsia" w:cstheme="majorEastAsia"/>
                <w:sz w:val="21"/>
                <w:szCs w:val="21"/>
                <w:lang w:val="en-US" w:eastAsia="zh-CN" w:bidi="ar"/>
              </w:rPr>
              <w:br w:type="textWrapping"/>
            </w:r>
            <w:r>
              <w:rPr>
                <w:rStyle w:val="9"/>
                <w:rFonts w:hint="eastAsia" w:asciiTheme="majorEastAsia" w:hAnsiTheme="majorEastAsia" w:eastAsiaTheme="majorEastAsia" w:cstheme="majorEastAsia"/>
                <w:sz w:val="21"/>
                <w:szCs w:val="21"/>
                <w:lang w:val="en-US" w:eastAsia="zh-CN" w:bidi="ar"/>
              </w:rPr>
              <w:t>7.最大声压级：105dB</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11</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互动观摩屏（含安装支架）</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 4K超高清直下式电视，分辨率3840*2160，屏幕尺寸：65英寸。含安装支架。</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1"/>
                <w:szCs w:val="21"/>
                <w:u w:val="none"/>
              </w:rPr>
            </w:pPr>
            <w:r>
              <w:rPr>
                <w:rFonts w:hint="eastAsia" w:asciiTheme="majorEastAsia" w:hAnsiTheme="majorEastAsia" w:eastAsiaTheme="majorEastAsia" w:cstheme="majorEastAsia"/>
                <w:b/>
                <w:bCs/>
                <w:i w:val="0"/>
                <w:iCs w:val="0"/>
                <w:color w:val="000000"/>
                <w:kern w:val="0"/>
                <w:sz w:val="21"/>
                <w:szCs w:val="21"/>
                <w:u w:val="none"/>
                <w:lang w:val="en-US" w:eastAsia="zh-CN" w:bidi="ar"/>
              </w:rPr>
              <w:t>12</w:t>
            </w:r>
          </w:p>
        </w:tc>
        <w:tc>
          <w:tcPr>
            <w:tcW w:w="607"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安装及线材辅材</w:t>
            </w:r>
          </w:p>
        </w:tc>
        <w:tc>
          <w:tcPr>
            <w:tcW w:w="3033" w:type="pct"/>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包含设备所需的音频、视频、控制、强弱电源线、千兆交换机、电源插排等相关辅助设备、辅材及施工费、调试费用。</w:t>
            </w:r>
          </w:p>
        </w:tc>
        <w:tc>
          <w:tcPr>
            <w:tcW w:w="47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447" w:type="pct"/>
            <w:tcBorders>
              <w:tl2br w:val="nil"/>
              <w:tr2bl w:val="nil"/>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5000" w:type="pct"/>
            <w:gridSpan w:val="5"/>
            <w:tcBorders>
              <w:tl2br w:val="nil"/>
              <w:tr2bl w:val="nil"/>
            </w:tcBorders>
            <w:shd w:val="clear" w:color="auto" w:fill="auto"/>
            <w:vAlign w:val="center"/>
          </w:tcPr>
          <w:p>
            <w:pPr>
              <w:keepNext w:val="0"/>
              <w:keepLines w:val="0"/>
              <w:widowControl/>
              <w:suppressLineNumbers w:val="0"/>
              <w:tabs>
                <w:tab w:val="left" w:pos="2167"/>
              </w:tabs>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b/>
                <w:bCs/>
                <w:i w:val="0"/>
                <w:iCs w:val="0"/>
                <w:color w:val="000000"/>
                <w:kern w:val="0"/>
                <w:sz w:val="21"/>
                <w:szCs w:val="21"/>
                <w:u w:val="none"/>
                <w:lang w:val="en-US" w:eastAsia="zh-CN" w:bidi="ar"/>
              </w:rPr>
              <w:t>二、服务要求：中标供应商须提供以下平台服务及要求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tcBorders>
              <w:tl2br w:val="nil"/>
              <w:tr2bl w:val="nil"/>
            </w:tcBorders>
            <w:shd w:val="clear" w:color="auto" w:fill="auto"/>
            <w:vAlign w:val="center"/>
          </w:tcPr>
          <w:p>
            <w:pPr>
              <w:keepNext w:val="0"/>
              <w:keepLines w:val="0"/>
              <w:widowControl/>
              <w:suppressLineNumbers w:val="0"/>
              <w:jc w:val="center"/>
              <w:textAlignment w:val="bottom"/>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w:t>
            </w:r>
          </w:p>
        </w:tc>
        <w:tc>
          <w:tcPr>
            <w:tcW w:w="607" w:type="pct"/>
            <w:tcBorders>
              <w:tl2br w:val="nil"/>
              <w:tr2bl w:val="nil"/>
            </w:tcBorders>
            <w:shd w:val="clear" w:color="auto" w:fill="auto"/>
            <w:vAlign w:val="center"/>
          </w:tcPr>
          <w:p>
            <w:pPr>
              <w:keepNext w:val="0"/>
              <w:keepLines w:val="0"/>
              <w:widowControl/>
              <w:suppressLineNumbers w:val="0"/>
              <w:jc w:val="center"/>
              <w:textAlignment w:val="bottom"/>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培训服务及人员服务要求</w:t>
            </w:r>
          </w:p>
        </w:tc>
        <w:tc>
          <w:tcPr>
            <w:tcW w:w="3958" w:type="pct"/>
            <w:gridSpan w:val="3"/>
            <w:tcBorders>
              <w:tl2br w:val="nil"/>
              <w:tr2bl w:val="nil"/>
            </w:tcBorders>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提供专业培训团队进行学校教师信息化能力提升专项培训，培训内容应包括：信息技术与学科融合理论学习、基于智慧教学平台的实践应用、教师信息化教学能力及创新课程设计能力提升三大模块，同步提交培训课件及材料（教材、PPT、微视频等不限）。</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2.为保证培训效果，提供合理的培训工作计划及进度安排，提供满足教师信息化应用水平及教学方法及能力提升的综合性统一培训课程计划。</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3.安排专业运维服务工程师保证日常教学活动的开展、设备管理及培训活动的组织实施，如遇大型活动须增加服务人员保证活动的正常进行。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shd w:val="clear" w:color="auto" w:fill="auto"/>
            <w:vAlign w:val="center"/>
          </w:tcPr>
          <w:p>
            <w:pPr>
              <w:keepNext w:val="0"/>
              <w:keepLines w:val="0"/>
              <w:widowControl/>
              <w:suppressLineNumbers w:val="0"/>
              <w:jc w:val="center"/>
              <w:textAlignment w:val="bottom"/>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4"/>
                <w:szCs w:val="24"/>
                <w:u w:val="none"/>
                <w:lang w:val="en-US" w:eastAsia="zh-CN" w:bidi="ar"/>
              </w:rPr>
              <w:t>2</w:t>
            </w:r>
          </w:p>
        </w:tc>
        <w:tc>
          <w:tcPr>
            <w:tcW w:w="607" w:type="pct"/>
            <w:shd w:val="clear" w:color="auto" w:fill="auto"/>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i w:val="0"/>
                <w:iCs w:val="0"/>
                <w:color w:val="000000"/>
                <w:kern w:val="2"/>
                <w:sz w:val="21"/>
                <w:szCs w:val="21"/>
                <w:u w:val="none"/>
                <w:lang w:val="en-US" w:eastAsia="zh-CN" w:bidi="ar-SA"/>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双师专递课堂平台</w:t>
            </w:r>
          </w:p>
        </w:tc>
        <w:tc>
          <w:tcPr>
            <w:tcW w:w="3958" w:type="pct"/>
            <w:gridSpan w:val="3"/>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1、开课计划：支持对结对组开课计划权限为公开的课程进行展示。</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开课地图：支持对整个区域的结对帮扶教学活动进行管理，汇聚区域各学校平台上的结对组开课信息。功能采用电子地图模式，根据区域行政区划逐层点击呈现。用户可点击地图内任一所辖区划进行查询，结果将展示主讲课堂数、接收课堂数、计划课时数、受益师生人次、课时数等维度的整体开课情况。（投标文件中需提供平台界面功能截图；）</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结对组列表：支持通览区域内所有结对组，提供按结对组名称、行政区划的快捷查询或筛选。各结对组区块直观展示该组名称、中心学校名称、帮扶学校数、累计开课数、磨课备课数、教研活动数，可快捷点击进入各结对组开展教学业务。</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4、结对组管理：支持按照结对组互动教学帮扶计划，自定义将几所学校设置为固定结对组，方便各学校便捷开展结对帮扶课堂教学活动。提供结对组名称、封面、有效性等设置，可便捷的管理所属成员校，可将某一学校设置为中心学校，可将结对组开展的课程计划公开权限进行设置。（投标文件中需提供平台界面功能截图；）</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5、结对组互动教学管理：支持根据结对组课表设置，自动获取呈现区域各学校平台上的专结对组互动教学列表并自动更新互动态（未开始、互动中、已结束等），点击可观看互动教学或进行视频点播。</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6、数据统计：支持将所有结对组的整体开课情况按报表呈现，统计维度包括：学科、应开课主讲课室数、实开课主讲课室数、开课主讲教室占比数、主讲教师人数、听讲教师人数、计划课时数、实际课时数、实开课时数占比、受益学生人数、已帮扶学校数。各维度指标可快捷排序，支持按.xlsx文档导出。</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7、结对组详情：支持查看单结对组所属帮扶课表，回看组内所有课程实录视频文件，并支持查看教师的组内磨课备课与教研活动应用。</w:t>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8、▲平台应用部署所需服务器硬件设备由投标人自行评估核算并提供。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34" w:type="pct"/>
            <w:shd w:val="clear" w:color="auto" w:fill="auto"/>
            <w:vAlign w:val="center"/>
          </w:tcPr>
          <w:p>
            <w:pPr>
              <w:keepNext w:val="0"/>
              <w:keepLines w:val="0"/>
              <w:widowControl/>
              <w:suppressLineNumbers w:val="0"/>
              <w:jc w:val="center"/>
              <w:textAlignment w:val="bottom"/>
              <w:rPr>
                <w:rFonts w:hint="default"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w:t>
            </w:r>
          </w:p>
        </w:tc>
        <w:tc>
          <w:tcPr>
            <w:tcW w:w="607" w:type="pct"/>
            <w:shd w:val="clear" w:color="auto" w:fill="auto"/>
            <w:vAlign w:val="center"/>
          </w:tcPr>
          <w:p>
            <w:pPr>
              <w:keepNext w:val="0"/>
              <w:keepLines w:val="0"/>
              <w:widowControl/>
              <w:suppressLineNumbers w:val="0"/>
              <w:jc w:val="center"/>
              <w:textAlignment w:val="center"/>
              <w:rPr>
                <w:rFonts w:hint="default"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云直播服务</w:t>
            </w:r>
          </w:p>
        </w:tc>
        <w:tc>
          <w:tcPr>
            <w:tcW w:w="3958" w:type="pct"/>
            <w:gridSpan w:val="3"/>
            <w:shd w:val="clear" w:color="auto" w:fill="auto"/>
            <w:vAlign w:val="center"/>
          </w:tcPr>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服务交付要求</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1、可基于PC和移动端提供完整的、便捷的一站式“申请、审批、直播、统计、回放”全流程云直播管理应用。</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2、支持≥10000人同时在线直播。</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二、直播管理平台</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1、用户管理：PC端管理平台支持通过微信扫码绑定微信账号为管理员账号、项目成员账号等不同用户角色，分配不同权限。项目成员支持直接通过微信公众号或扫描二维码进行直播申请。</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2、直播统计：支持通过微信公众号进行直播数据统计，包括我申请的直播数量、观看直播数量、获赞数量等等。</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三.直播功能要求</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1、多终端支持：支持电脑、平板、手机等终端通过PC浏览器、微信公众号等门户观看，兼容多系统平台。</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2、直播分享：支持建立直播活动后自动生成宣传海报、直播间链接和直播间二维码，可一键将直播宣传海报转发至微信好友或朋友圈。可通过微信扫描二维码进入直播间。</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3、直播回顾：支持根据会议议程打点以及自由拖动进度条进行直播回顾，直播回顾过程中可一键返回实时直播。</w:t>
            </w:r>
          </w:p>
          <w:p>
            <w:pPr>
              <w:keepNext w:val="0"/>
              <w:keepLines w:val="0"/>
              <w:widowControl/>
              <w:suppressLineNumbers w:val="0"/>
              <w:jc w:val="left"/>
              <w:textAlignment w:val="center"/>
              <w:rPr>
                <w:rFonts w:hint="eastAsia" w:asciiTheme="majorEastAsia" w:hAnsiTheme="majorEastAsia" w:eastAsiaTheme="majorEastAsia" w:cstheme="majorEastAsia"/>
                <w:b w:val="0"/>
                <w:bCs w:val="0"/>
                <w:i w:val="0"/>
                <w:iCs w:val="0"/>
                <w:color w:val="000000"/>
                <w:kern w:val="0"/>
                <w:sz w:val="21"/>
                <w:szCs w:val="21"/>
                <w:u w:val="none"/>
                <w:lang w:val="en-US" w:eastAsia="zh-CN" w:bidi="ar"/>
              </w:rPr>
            </w:pPr>
            <w:r>
              <w:rPr>
                <w:rFonts w:hint="eastAsia" w:asciiTheme="majorEastAsia" w:hAnsiTheme="majorEastAsia" w:eastAsiaTheme="majorEastAsia" w:cstheme="majorEastAsia"/>
                <w:b w:val="0"/>
                <w:bCs w:val="0"/>
                <w:i w:val="0"/>
                <w:iCs w:val="0"/>
                <w:color w:val="000000"/>
                <w:kern w:val="0"/>
                <w:sz w:val="21"/>
                <w:szCs w:val="21"/>
                <w:u w:val="none"/>
                <w:lang w:val="en-US" w:eastAsia="zh-CN" w:bidi="ar"/>
              </w:rPr>
              <w:t>4、直播录像下载：支持管理直播下载权限，开启下载权限后可将直播生成的视频下载到本地。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5000" w:type="pct"/>
            <w:gridSpan w:val="5"/>
            <w:shd w:val="clear" w:color="auto" w:fill="auto"/>
            <w:vAlign w:val="center"/>
          </w:tcPr>
          <w:p>
            <w:pPr>
              <w:keepNext w:val="0"/>
              <w:keepLines w:val="0"/>
              <w:widowControl/>
              <w:suppressLineNumbers w:val="0"/>
              <w:jc w:val="both"/>
              <w:textAlignment w:val="bottom"/>
              <w:rPr>
                <w:rFonts w:hint="eastAsia" w:ascii="宋体" w:hAnsi="宋体" w:eastAsia="宋体" w:cs="宋体"/>
                <w:b w:val="0"/>
                <w:bCs w:val="0"/>
                <w:i w:val="0"/>
                <w:iCs w:val="0"/>
                <w:color w:val="000000"/>
                <w:kern w:val="2"/>
                <w:sz w:val="21"/>
                <w:szCs w:val="21"/>
                <w:u w:val="none"/>
                <w:lang w:val="en-US" w:eastAsia="zh-CN" w:bidi="ar-SA"/>
              </w:rPr>
            </w:pPr>
            <w:r>
              <w:rPr>
                <w:rFonts w:hint="eastAsia" w:ascii="宋体" w:hAnsi="宋体" w:eastAsia="宋体" w:cs="宋体"/>
                <w:b w:val="0"/>
                <w:bCs w:val="0"/>
                <w:i w:val="0"/>
                <w:iCs w:val="0"/>
                <w:color w:val="000000"/>
                <w:kern w:val="0"/>
                <w:sz w:val="21"/>
                <w:szCs w:val="21"/>
                <w:u w:val="none"/>
                <w:lang w:val="en-US" w:eastAsia="zh-CN" w:bidi="ar"/>
              </w:rPr>
              <w:t>三、履约要求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5000" w:type="pct"/>
            <w:gridSpan w:val="5"/>
            <w:shd w:val="clear" w:color="auto" w:fill="auto"/>
            <w:vAlign w:val="center"/>
          </w:tcPr>
          <w:p>
            <w:pPr>
              <w:keepNext w:val="0"/>
              <w:keepLines w:val="0"/>
              <w:widowControl/>
              <w:numPr>
                <w:ilvl w:val="0"/>
                <w:numId w:val="4"/>
              </w:numPr>
              <w:suppressLineNumbers w:val="0"/>
              <w:jc w:val="both"/>
              <w:textAlignment w:val="bottom"/>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采购人有权要求中标人对采购需求中要求的功能参数要求进行功能演示，如无法功能演示与投标文件中响应的内容不符，将视为违约，采购人将上报政府采购监督管理部门处理。</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2、招标文件中有标注▲项的条款，为必须满足条款，如无法提供或与投标文件中响应的内容不符，将视为违约，采购人将上报政府采购监督管理部门处理。</w:t>
            </w:r>
          </w:p>
        </w:tc>
      </w:tr>
    </w:tbl>
    <w:p>
      <w:r>
        <w:br w:type="page"/>
      </w:r>
    </w:p>
    <w:p>
      <w:pPr>
        <w:pStyle w:val="12"/>
        <w:tabs>
          <w:tab w:val="left" w:pos="-1800"/>
          <w:tab w:val="left" w:pos="1320"/>
          <w:tab w:val="clear" w:pos="700"/>
        </w:tabs>
        <w:spacing w:line="460" w:lineRule="exact"/>
        <w:jc w:val="center"/>
        <w:rPr>
          <w:b/>
          <w:bCs/>
          <w:color w:val="000000"/>
          <w:sz w:val="28"/>
          <w:szCs w:val="28"/>
        </w:rPr>
      </w:pPr>
      <w:r>
        <w:rPr>
          <w:rFonts w:hint="eastAsia"/>
          <w:b/>
          <w:bCs/>
          <w:color w:val="000000"/>
          <w:sz w:val="28"/>
          <w:szCs w:val="28"/>
        </w:rPr>
        <w:t>评分</w:t>
      </w:r>
      <w:r>
        <w:rPr>
          <w:b/>
          <w:bCs/>
          <w:color w:val="000000"/>
          <w:sz w:val="28"/>
          <w:szCs w:val="28"/>
        </w:rPr>
        <w:t>细则</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rPr>
      </w:pPr>
    </w:p>
    <w:tbl>
      <w:tblPr>
        <w:tblStyle w:val="6"/>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140"/>
        <w:gridCol w:w="1091"/>
        <w:gridCol w:w="5902"/>
        <w:gridCol w:w="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4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序号</w:t>
            </w:r>
          </w:p>
        </w:tc>
        <w:tc>
          <w:tcPr>
            <w:tcW w:w="2231" w:type="dxa"/>
            <w:gridSpan w:val="2"/>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评审项目</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评审标准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jc w:val="center"/>
        </w:trPr>
        <w:tc>
          <w:tcPr>
            <w:tcW w:w="542" w:type="dxa"/>
            <w:vMerge w:val="restart"/>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val="en-US" w:eastAsia="zh-CN"/>
              </w:rPr>
              <w:t>1</w:t>
            </w:r>
          </w:p>
        </w:tc>
        <w:tc>
          <w:tcPr>
            <w:tcW w:w="1140" w:type="dxa"/>
            <w:vMerge w:val="restart"/>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技术部分</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0分</w:t>
            </w: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技术指标符合性</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zh-CN"/>
              </w:rPr>
            </w:pPr>
            <w:r>
              <w:rPr>
                <w:rFonts w:hint="eastAsia" w:asciiTheme="majorEastAsia" w:hAnsiTheme="majorEastAsia" w:eastAsiaTheme="majorEastAsia" w:cstheme="majorEastAsia"/>
                <w:sz w:val="21"/>
                <w:szCs w:val="21"/>
                <w:lang w:val="zh-CN"/>
              </w:rPr>
              <w:t>投标产品技术参数和配置带“★”指标为</w:t>
            </w:r>
            <w:r>
              <w:rPr>
                <w:rFonts w:hint="eastAsia" w:asciiTheme="majorEastAsia" w:hAnsiTheme="majorEastAsia" w:eastAsiaTheme="majorEastAsia" w:cstheme="majorEastAsia"/>
                <w:sz w:val="21"/>
                <w:szCs w:val="21"/>
                <w:lang w:val="en-US" w:eastAsia="zh-CN"/>
              </w:rPr>
              <w:t>实质关键性</w:t>
            </w:r>
            <w:r>
              <w:rPr>
                <w:rFonts w:hint="eastAsia" w:asciiTheme="majorEastAsia" w:hAnsiTheme="majorEastAsia" w:eastAsiaTheme="majorEastAsia" w:cstheme="majorEastAsia"/>
                <w:sz w:val="21"/>
                <w:szCs w:val="21"/>
                <w:lang w:val="zh-CN"/>
              </w:rPr>
              <w:t>要求，满足的一项</w:t>
            </w:r>
            <w:r>
              <w:rPr>
                <w:rFonts w:hint="eastAsia" w:asciiTheme="majorEastAsia" w:hAnsiTheme="majorEastAsia" w:eastAsiaTheme="majorEastAsia" w:cstheme="majorEastAsia"/>
                <w:sz w:val="21"/>
                <w:szCs w:val="21"/>
                <w:lang w:val="zh-CN" w:eastAsia="zh-CN"/>
              </w:rPr>
              <w:t>加</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lang w:val="zh-CN"/>
              </w:rPr>
              <w:t>分，满分</w:t>
            </w:r>
            <w:r>
              <w:rPr>
                <w:rFonts w:hint="eastAsia" w:asciiTheme="majorEastAsia" w:hAnsiTheme="majorEastAsia" w:eastAsiaTheme="majorEastAsia" w:cstheme="majorEastAsia"/>
                <w:sz w:val="21"/>
                <w:szCs w:val="21"/>
                <w:lang w:val="en-US" w:eastAsia="zh-CN"/>
              </w:rPr>
              <w:t>30分</w:t>
            </w:r>
            <w:r>
              <w:rPr>
                <w:rFonts w:hint="eastAsia" w:asciiTheme="majorEastAsia" w:hAnsiTheme="majorEastAsia" w:eastAsiaTheme="majorEastAsia" w:cstheme="majorEastAsia"/>
                <w:sz w:val="21"/>
                <w:szCs w:val="21"/>
                <w:lang w:val="zh-CN"/>
              </w:rPr>
              <w:t>。</w:t>
            </w:r>
            <w:r>
              <w:rPr>
                <w:rFonts w:hint="eastAsia" w:asciiTheme="majorEastAsia" w:hAnsiTheme="majorEastAsia" w:eastAsiaTheme="majorEastAsia" w:cstheme="majorEastAsia"/>
                <w:sz w:val="21"/>
                <w:szCs w:val="21"/>
                <w:lang w:val="en-US" w:eastAsia="zh-CN"/>
              </w:rPr>
              <w:t>非</w:t>
            </w:r>
            <w:r>
              <w:rPr>
                <w:rFonts w:hint="eastAsia" w:asciiTheme="majorEastAsia" w:hAnsiTheme="majorEastAsia" w:eastAsiaTheme="majorEastAsia" w:cstheme="majorEastAsia"/>
                <w:sz w:val="21"/>
                <w:szCs w:val="21"/>
                <w:lang w:val="zh-CN"/>
              </w:rPr>
              <w:t>“★”指标要求</w:t>
            </w:r>
            <w:r>
              <w:rPr>
                <w:rFonts w:hint="eastAsia" w:asciiTheme="majorEastAsia" w:hAnsiTheme="majorEastAsia" w:eastAsiaTheme="majorEastAsia" w:cstheme="majorEastAsia"/>
                <w:sz w:val="21"/>
                <w:szCs w:val="21"/>
                <w:lang w:val="en-US" w:eastAsia="zh-CN"/>
              </w:rPr>
              <w:t>投标人提供参数响应承诺函</w:t>
            </w:r>
            <w:r>
              <w:rPr>
                <w:rFonts w:hint="eastAsia" w:asciiTheme="majorEastAsia" w:hAnsiTheme="majorEastAsia" w:eastAsiaTheme="majorEastAsia" w:cstheme="majorEastAsia"/>
                <w:sz w:val="21"/>
                <w:szCs w:val="21"/>
                <w:lang w:val="zh-CN"/>
              </w:rPr>
              <w:t>。</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 xml:space="preserve">备注：投标文件中带★的技术参数需提供相关证明，证明材 </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 xml:space="preserve">料详见“★”项参数内容。证明材料中需体现评审 </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zh-CN"/>
              </w:rPr>
            </w:pPr>
            <w:r>
              <w:rPr>
                <w:rFonts w:hint="eastAsia" w:asciiTheme="majorEastAsia" w:hAnsiTheme="majorEastAsia" w:eastAsiaTheme="majorEastAsia" w:cstheme="majorEastAsia"/>
                <w:sz w:val="21"/>
                <w:szCs w:val="21"/>
                <w:lang w:val="en-US" w:eastAsia="zh-CN"/>
              </w:rPr>
              <w:t>参数的功能要求，如未提供或提供不全不得分。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30</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综合实力</w:t>
            </w:r>
          </w:p>
        </w:tc>
        <w:tc>
          <w:tcPr>
            <w:tcW w:w="5902" w:type="dxa"/>
            <w:shd w:val="clear" w:color="auto" w:fill="auto"/>
            <w:vAlign w:val="top"/>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2023年1月1日以来（以中标链接或合同签订时间为准），投标人或投标产品制造商具有双师课堂（至少包含录播主机或录播管理软件）供货业绩的，每提供一个业绩得1分，满分6分。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21"/>
                <w:szCs w:val="21"/>
              </w:rPr>
              <w:t>注：以投标文件中提供的</w:t>
            </w:r>
            <w:r>
              <w:rPr>
                <w:rFonts w:hint="eastAsia" w:asciiTheme="majorEastAsia" w:hAnsiTheme="majorEastAsia" w:eastAsiaTheme="majorEastAsia" w:cstheme="majorEastAsia"/>
                <w:b/>
                <w:bCs/>
                <w:sz w:val="21"/>
                <w:szCs w:val="21"/>
                <w:lang w:val="en-US" w:eastAsia="zh-CN"/>
              </w:rPr>
              <w:t>业绩</w:t>
            </w:r>
            <w:r>
              <w:rPr>
                <w:rFonts w:hint="eastAsia" w:asciiTheme="majorEastAsia" w:hAnsiTheme="majorEastAsia" w:eastAsiaTheme="majorEastAsia" w:cstheme="majorEastAsia"/>
                <w:b/>
                <w:bCs/>
                <w:sz w:val="21"/>
                <w:szCs w:val="21"/>
              </w:rPr>
              <w:t>证明材料为评审依据</w:t>
            </w:r>
            <w:r>
              <w:rPr>
                <w:rFonts w:hint="eastAsia" w:asciiTheme="majorEastAsia" w:hAnsiTheme="majorEastAsia" w:eastAsiaTheme="majorEastAsia" w:cstheme="majorEastAsia"/>
                <w:b/>
                <w:bCs/>
                <w:sz w:val="21"/>
                <w:szCs w:val="21"/>
                <w:lang w:eastAsia="zh-CN"/>
              </w:rPr>
              <w:t>（</w:t>
            </w:r>
            <w:r>
              <w:rPr>
                <w:rFonts w:hint="eastAsia" w:asciiTheme="majorEastAsia" w:hAnsiTheme="majorEastAsia" w:eastAsiaTheme="majorEastAsia" w:cstheme="majorEastAsia"/>
                <w:b/>
                <w:bCs/>
                <w:sz w:val="21"/>
                <w:szCs w:val="21"/>
                <w:lang w:val="en-US" w:eastAsia="zh-CN"/>
              </w:rPr>
              <w:t>须为政府或学校招投标项目为准）</w:t>
            </w:r>
            <w:r>
              <w:rPr>
                <w:rFonts w:hint="eastAsia" w:asciiTheme="majorEastAsia" w:hAnsiTheme="majorEastAsia" w:eastAsiaTheme="majorEastAsia" w:cstheme="majorEastAsia"/>
                <w:b/>
                <w:bCs/>
                <w:sz w:val="21"/>
                <w:szCs w:val="21"/>
              </w:rPr>
              <w:t>。如无法体现评审要素的，须另附合同甲方出具的有效证明材料。</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jc w:val="center"/>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产品质量及服务保障</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投标人所投产品质保及服务标准为3年，满足3年得2分，每增加一年加1分，最多得4分。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供货方案</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根据投标人提供的供货方案，包括供货计划和供货方法，由</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1、供货方案完整，供货计划详细，供货方法可行的得 </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2、供货方案较完整，供货计划较详细，供货方法较可行的</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得</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3、供货方案完整性、供货计划详细性、供货方法可行性有</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待改善的得</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0-6</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安装、技术调试方案</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根据投标人提供的安装</w:t>
            </w:r>
            <w:r>
              <w:rPr>
                <w:rFonts w:hint="eastAsia" w:asciiTheme="majorEastAsia" w:hAnsiTheme="majorEastAsia" w:eastAsiaTheme="majorEastAsia" w:cstheme="majorEastAsia"/>
                <w:sz w:val="21"/>
                <w:szCs w:val="21"/>
                <w:lang w:val="en-US" w:eastAsia="zh-CN"/>
              </w:rPr>
              <w:t>及技术调试</w:t>
            </w:r>
            <w:r>
              <w:rPr>
                <w:rFonts w:hint="eastAsia" w:asciiTheme="majorEastAsia" w:hAnsiTheme="majorEastAsia" w:eastAsiaTheme="majorEastAsia" w:cstheme="majorEastAsia"/>
                <w:sz w:val="21"/>
                <w:szCs w:val="21"/>
              </w:rPr>
              <w:t>方案，包括安装计划和安装方法，调试计划和总体调试流程等方面。由评标委员会综合评审：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安装方案完整，安装计划详细，安装方法可行的得</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安装方案较完整，安装计划较详细，安装方法较可行的</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得</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3、安装方案完整性、安装计划详细性、安装方法可行性有</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待改善的得</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0-6</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售后服务及维保方案</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根据投标人提供的售后服务方案，包括售后服务承诺、售后</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内容等，由评标委员会综合评审：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1、售后服务方案完整，售后服务承诺详细，售后内容可行</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的得</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2、售后服务方案较完整，售后服务承诺较详细，售后内容</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较可行的得</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3、售后服务方案完整性、售后服务承诺详细性、售后内容</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可行性有待改善的得</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0-6</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培训方案</w:t>
            </w:r>
          </w:p>
        </w:tc>
        <w:tc>
          <w:tcPr>
            <w:tcW w:w="590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根据投标人提供的设备使用培训方案，包括培训计划和培训</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内容，由评标委员会综合评审：</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1、培训方案完整，培训计划可行，培训内容详细的得</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2、培训方案较完整，培训计划较可行，培训内容较详细的</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得</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 xml:space="preserve"> 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3、培训方案完整性、培训计划可行性、培训内容详细性有</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待改善的得</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4、差或未提供相关内容不得分。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0-6</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542"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140" w:type="dxa"/>
            <w:vMerge w:val="continue"/>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p>
        </w:tc>
        <w:tc>
          <w:tcPr>
            <w:tcW w:w="1091"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spacing w:val="4"/>
              </w:rPr>
              <w:t>维修便利</w:t>
            </w:r>
            <w:r>
              <w:t>性</w:t>
            </w:r>
          </w:p>
        </w:tc>
        <w:tc>
          <w:tcPr>
            <w:tcW w:w="5902"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根据供应商的维修方案（包括维修团队的配置及分工、维修内容及承诺、响应时间及保障措施等）进行评分。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（1）方案内容完整、详尽细致；可行性、针对性强的，得</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（2）方案内容完整；具有可行性和针对性的，得</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（3）方案内容基本适合本项目采购需求，可行性、针对性有待改善的 ， 得 </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分；</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（4）方案不可行或者未提供相关内容的不得分。</w:t>
            </w:r>
          </w:p>
        </w:tc>
        <w:tc>
          <w:tcPr>
            <w:tcW w:w="893" w:type="dxa"/>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0-6</w:t>
            </w:r>
            <w:r>
              <w:rPr>
                <w:rFonts w:hint="eastAsia" w:asciiTheme="majorEastAsia" w:hAnsiTheme="majorEastAsia" w:eastAsiaTheme="majorEastAsia" w:cstheme="majorEastAsia"/>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54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w:t>
            </w:r>
          </w:p>
        </w:tc>
        <w:tc>
          <w:tcPr>
            <w:tcW w:w="2231"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投标报价</w:t>
            </w:r>
          </w:p>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30分</w:t>
            </w:r>
          </w:p>
        </w:tc>
        <w:tc>
          <w:tcPr>
            <w:tcW w:w="6795"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0" w:lineRule="atLeast"/>
              <w:ind w:firstLine="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价格分统一采用低价优先法，即满足招标文件要求且投标价格最低的投标报价为评标基准价，其价格分为满分 30 分。其他投标人的价格分统一按照下列公式计算（计算结果四舍五入保留至小数点后两位数）：投标报价得分＝（评标基准价/投标报价）× 30 ％×100</w:t>
            </w:r>
          </w:p>
        </w:tc>
      </w:tr>
    </w:tbl>
    <w:p/>
    <w:p/>
    <w:p/>
    <w:p/>
    <w:p/>
    <w:p/>
    <w:p/>
    <w:p/>
    <w:p/>
    <w:p/>
    <w:p/>
    <w:p/>
    <w:p/>
    <w:p/>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35188"/>
    <w:multiLevelType w:val="singleLevel"/>
    <w:tmpl w:val="BFF35188"/>
    <w:lvl w:ilvl="0" w:tentative="0">
      <w:start w:val="1"/>
      <w:numFmt w:val="decimal"/>
      <w:suff w:val="nothing"/>
      <w:lvlText w:val="%1、"/>
      <w:lvlJc w:val="left"/>
    </w:lvl>
  </w:abstractNum>
  <w:abstractNum w:abstractNumId="1">
    <w:nsid w:val="DAFAD1F2"/>
    <w:multiLevelType w:val="singleLevel"/>
    <w:tmpl w:val="DAFAD1F2"/>
    <w:lvl w:ilvl="0" w:tentative="0">
      <w:start w:val="3"/>
      <w:numFmt w:val="decimal"/>
      <w:suff w:val="nothing"/>
      <w:lvlText w:val="%1、"/>
      <w:lvlJc w:val="left"/>
    </w:lvl>
  </w:abstractNum>
  <w:abstractNum w:abstractNumId="2">
    <w:nsid w:val="39BEBFB7"/>
    <w:multiLevelType w:val="singleLevel"/>
    <w:tmpl w:val="39BEBFB7"/>
    <w:lvl w:ilvl="0" w:tentative="0">
      <w:start w:val="1"/>
      <w:numFmt w:val="decimal"/>
      <w:suff w:val="nothing"/>
      <w:lvlText w:val="%1、"/>
      <w:lvlJc w:val="left"/>
    </w:lvl>
  </w:abstractNum>
  <w:abstractNum w:abstractNumId="3">
    <w:nsid w:val="3EF650B4"/>
    <w:multiLevelType w:val="singleLevel"/>
    <w:tmpl w:val="3EF650B4"/>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ZTAxODU2Njg2NDVmZDQ2YmJkYjAzNThmYjRmNjMifQ=="/>
  </w:docVars>
  <w:rsids>
    <w:rsidRoot w:val="FBFAF657"/>
    <w:rsid w:val="0AEA4B1A"/>
    <w:rsid w:val="1F2C4E1A"/>
    <w:rsid w:val="27E73E70"/>
    <w:rsid w:val="3A80767D"/>
    <w:rsid w:val="3DF9778B"/>
    <w:rsid w:val="3F0C41B7"/>
    <w:rsid w:val="5FB13F66"/>
    <w:rsid w:val="6A96217A"/>
    <w:rsid w:val="7395514E"/>
    <w:rsid w:val="79EEEED6"/>
    <w:rsid w:val="D9FFEC5D"/>
    <w:rsid w:val="FAF91FD7"/>
    <w:rsid w:val="FBFAF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font41"/>
    <w:basedOn w:val="7"/>
    <w:qFormat/>
    <w:uiPriority w:val="0"/>
    <w:rPr>
      <w:rFonts w:hint="eastAsia" w:ascii="宋体" w:hAnsi="宋体" w:eastAsia="宋体" w:cs="宋体"/>
      <w:color w:val="000000"/>
      <w:sz w:val="20"/>
      <w:szCs w:val="20"/>
      <w:u w:val="none"/>
    </w:rPr>
  </w:style>
  <w:style w:type="character" w:customStyle="1" w:styleId="10">
    <w:name w:val="font31"/>
    <w:basedOn w:val="7"/>
    <w:qFormat/>
    <w:uiPriority w:val="0"/>
    <w:rPr>
      <w:rFonts w:hint="eastAsia" w:ascii="宋体" w:hAnsi="宋体" w:eastAsia="宋体" w:cs="宋体"/>
      <w:b/>
      <w:bCs/>
      <w:color w:val="000000"/>
      <w:sz w:val="20"/>
      <w:szCs w:val="20"/>
      <w:u w:val="none"/>
    </w:rPr>
  </w:style>
  <w:style w:type="character" w:customStyle="1" w:styleId="11">
    <w:name w:val="font51"/>
    <w:basedOn w:val="7"/>
    <w:qFormat/>
    <w:uiPriority w:val="0"/>
    <w:rPr>
      <w:rFonts w:ascii="Calibri" w:hAnsi="Calibri" w:cs="Calibri"/>
      <w:color w:val="000000"/>
      <w:sz w:val="20"/>
      <w:szCs w:val="20"/>
      <w:u w:val="none"/>
    </w:rPr>
  </w:style>
  <w:style w:type="paragraph" w:customStyle="1" w:styleId="12">
    <w:name w:val="（符号）三标题1.1"/>
    <w:basedOn w:val="1"/>
    <w:qFormat/>
    <w:uiPriority w:val="0"/>
    <w:pPr>
      <w:tabs>
        <w:tab w:val="left" w:pos="700"/>
      </w:tabs>
      <w:spacing w:line="500" w:lineRule="exact"/>
    </w:pPr>
    <w:rPr>
      <w:rFonts w:ascii="宋体" w:hAnsi="宋体" w:eastAsia="宋体" w:cs="Times New Roman"/>
      <w:sz w:val="24"/>
      <w:szCs w:val="24"/>
    </w:rPr>
  </w:style>
  <w:style w:type="paragraph" w:customStyle="1" w:styleId="13">
    <w:name w:val="Table Text"/>
    <w:basedOn w:val="1"/>
    <w:semiHidden/>
    <w:qFormat/>
    <w:uiPriority w:val="0"/>
    <w:rPr>
      <w:rFonts w:ascii="仿宋" w:hAnsi="仿宋" w:eastAsia="仿宋" w:cs="仿宋"/>
      <w:sz w:val="20"/>
      <w:szCs w:val="20"/>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18</TotalTime>
  <ScaleCrop>false</ScaleCrop>
  <LinksUpToDate>false</LinksUpToDate>
  <CharactersWithSpaces>0</CharactersWithSpaces>
  <Application>WPS Office_11.1.0.14227_F1E327BC-269C-435d-A152-05C5408002CA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2026-09-15T12:15:00Z</dcterms:created>
  <dc:creator>王亚飞</dc:creator>
  <cp:lastModifiedBy>Administrator</cp:lastModifiedBy>
  <dcterms:modified xsi:type="dcterms:W3CDTF">2026-09-21T07:31:03Z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2052-11.1.0.14227</vt:lpwstr>
  </property>
  <property fmtid="{D5CDD505-2E9C-101B-9397-08002B2CF9AE}" pid="3" name="ICV">
    <vt:lpwstr>FA1871CEBCC34ABAB3151E28B3C03E47_13</vt:lpwstr>
  </property>
</Properties>
</file>